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2EC7D6">
      <w:pPr>
        <w:snapToGrid w:val="0"/>
        <w:ind w:right="482" w:firstLine="1680" w:firstLineChars="700"/>
        <w:jc w:val="left"/>
        <w:outlineLvl w:val="0"/>
        <w:rPr>
          <w:rFonts w:ascii="仿宋_GB2312" w:hAnsi="Times New Roman" w:eastAsia="仿宋_GB2312" w:cs="Times New Roman"/>
          <w:b/>
          <w:bCs/>
          <w:color w:val="000000"/>
          <w:sz w:val="28"/>
          <w:szCs w:val="24"/>
        </w:rPr>
      </w:pPr>
      <w:bookmarkStart w:id="0" w:name="_Toc38306768"/>
      <w:bookmarkStart w:id="1" w:name="_Toc28634"/>
      <w:r>
        <w:rPr>
          <w:rFonts w:hint="eastAsia" w:ascii="仿宋_GB2312" w:hAnsi="仿宋" w:eastAsia="仿宋_GB2312" w:cs="Times New Roman"/>
          <w:snapToGrid w:val="0"/>
          <w:kern w:val="0"/>
          <w:sz w:val="24"/>
          <w:szCs w:val="24"/>
        </w:rPr>
        <w:t xml:space="preserve">                                     </w:t>
      </w:r>
      <w:r>
        <w:rPr>
          <w:rFonts w:hint="eastAsia" w:ascii="仿宋_GB2312" w:hAnsi="仿宋" w:eastAsia="仿宋_GB2312" w:cs="Times New Roman"/>
          <w:snapToGrid w:val="0"/>
          <w:kern w:val="0"/>
          <w:sz w:val="28"/>
          <w:szCs w:val="24"/>
        </w:rPr>
        <w:t>协议编号：</w:t>
      </w:r>
      <w:bookmarkEnd w:id="0"/>
      <w:bookmarkEnd w:id="1"/>
    </w:p>
    <w:p w14:paraId="09A7F779">
      <w:pPr>
        <w:snapToGrid w:val="0"/>
        <w:spacing w:before="100" w:beforeAutospacing="1"/>
        <w:ind w:right="-525" w:rightChars="-250"/>
        <w:jc w:val="center"/>
        <w:outlineLvl w:val="0"/>
        <w:rPr>
          <w:rFonts w:ascii="楷体" w:hAnsi="楷体" w:eastAsia="楷体"/>
          <w:b/>
          <w:snapToGrid w:val="0"/>
          <w:color w:val="000000" w:themeColor="text1"/>
          <w:kern w:val="0"/>
          <w:sz w:val="32"/>
          <w:szCs w:val="36"/>
          <w14:textFill>
            <w14:solidFill>
              <w14:schemeClr w14:val="tx1"/>
            </w14:solidFill>
          </w14:textFill>
        </w:rPr>
      </w:pPr>
      <w:bookmarkStart w:id="2" w:name="_Toc3645720"/>
      <w:bookmarkStart w:id="3" w:name="_Toc4104"/>
      <w:bookmarkStart w:id="4" w:name="_Toc3705935"/>
      <w:bookmarkStart w:id="5" w:name="_Toc38306769"/>
      <w:bookmarkStart w:id="6" w:name="_Toc3646369"/>
      <w:bookmarkStart w:id="7" w:name="_Toc3706097"/>
      <w:bookmarkStart w:id="8" w:name="_Toc2866208"/>
      <w:bookmarkStart w:id="9" w:name="_Toc2852903"/>
      <w:r>
        <w:rPr>
          <w:rFonts w:hint="eastAsia" w:ascii="楷体" w:hAnsi="楷体" w:eastAsia="楷体"/>
          <w:b/>
          <w:snapToGrid w:val="0"/>
          <w:color w:val="000000" w:themeColor="text1"/>
          <w:kern w:val="0"/>
          <w:sz w:val="32"/>
          <w:szCs w:val="36"/>
          <w14:textFill>
            <w14:solidFill>
              <w14:schemeClr w14:val="tx1"/>
            </w14:solidFill>
          </w14:textFill>
        </w:rPr>
        <w:t>北京</w:t>
      </w:r>
      <w:r>
        <w:rPr>
          <w:rFonts w:hint="eastAsia" w:ascii="楷体" w:hAnsi="楷体" w:eastAsia="楷体"/>
          <w:b/>
          <w:snapToGrid w:val="0"/>
          <w:color w:val="000000" w:themeColor="text1"/>
          <w:kern w:val="0"/>
          <w:sz w:val="32"/>
          <w:szCs w:val="36"/>
          <w:lang w:eastAsia="zh-CN"/>
          <w14:textFill>
            <w14:solidFill>
              <w14:schemeClr w14:val="tx1"/>
            </w14:solidFill>
          </w14:textFill>
        </w:rPr>
        <w:t>建筑</w:t>
      </w:r>
      <w:r>
        <w:rPr>
          <w:rFonts w:hint="eastAsia" w:ascii="楷体" w:hAnsi="楷体" w:eastAsia="楷体"/>
          <w:b/>
          <w:snapToGrid w:val="0"/>
          <w:color w:val="000000" w:themeColor="text1"/>
          <w:kern w:val="0"/>
          <w:sz w:val="32"/>
          <w:szCs w:val="36"/>
          <w14:textFill>
            <w14:solidFill>
              <w14:schemeClr w14:val="tx1"/>
            </w14:solidFill>
          </w14:textFill>
        </w:rPr>
        <w:t>大学</w:t>
      </w:r>
      <w:bookmarkEnd w:id="2"/>
      <w:bookmarkEnd w:id="3"/>
      <w:bookmarkEnd w:id="4"/>
      <w:bookmarkEnd w:id="5"/>
      <w:bookmarkEnd w:id="6"/>
      <w:bookmarkEnd w:id="7"/>
    </w:p>
    <w:p w14:paraId="4A863814">
      <w:pPr>
        <w:snapToGrid w:val="0"/>
        <w:spacing w:after="100" w:afterAutospacing="1"/>
        <w:ind w:right="-525" w:rightChars="-250"/>
        <w:jc w:val="center"/>
        <w:outlineLvl w:val="0"/>
        <w:rPr>
          <w:rFonts w:ascii="楷体" w:hAnsi="楷体" w:eastAsia="楷体"/>
          <w:b/>
          <w:snapToGrid w:val="0"/>
          <w:color w:val="000000" w:themeColor="text1"/>
          <w:kern w:val="0"/>
          <w:sz w:val="32"/>
          <w:szCs w:val="36"/>
          <w14:textFill>
            <w14:solidFill>
              <w14:schemeClr w14:val="tx1"/>
            </w14:solidFill>
          </w14:textFill>
        </w:rPr>
      </w:pPr>
      <w:bookmarkStart w:id="10" w:name="_Toc3645721"/>
      <w:bookmarkStart w:id="11" w:name="_Toc3705936"/>
      <w:bookmarkStart w:id="12" w:name="_Toc20247"/>
      <w:bookmarkStart w:id="13" w:name="_Toc3706098"/>
      <w:bookmarkStart w:id="14" w:name="_Toc38306770"/>
      <w:r>
        <w:rPr>
          <w:rFonts w:hint="eastAsia" w:ascii="楷体" w:hAnsi="楷体" w:eastAsia="楷体"/>
          <w:b/>
          <w:snapToGrid w:val="0"/>
          <w:color w:val="000000" w:themeColor="text1"/>
          <w:kern w:val="0"/>
          <w:sz w:val="32"/>
          <w:szCs w:val="36"/>
          <w:lang w:eastAsia="zh-CN"/>
          <w14:textFill>
            <w14:solidFill>
              <w14:schemeClr w14:val="tx1"/>
            </w14:solidFill>
          </w14:textFill>
        </w:rPr>
        <w:t>202</w:t>
      </w:r>
      <w:r>
        <w:rPr>
          <w:rFonts w:hint="eastAsia" w:ascii="楷体" w:hAnsi="楷体" w:eastAsia="楷体"/>
          <w:b/>
          <w:snapToGrid w:val="0"/>
          <w:color w:val="000000" w:themeColor="text1"/>
          <w:kern w:val="0"/>
          <w:sz w:val="32"/>
          <w:szCs w:val="36"/>
          <w:lang w:val="en-US" w:eastAsia="zh-CN"/>
          <w14:textFill>
            <w14:solidFill>
              <w14:schemeClr w14:val="tx1"/>
            </w14:solidFill>
          </w14:textFill>
        </w:rPr>
        <w:t>6</w:t>
      </w:r>
      <w:r>
        <w:rPr>
          <w:rFonts w:ascii="楷体" w:hAnsi="楷体" w:eastAsia="楷体"/>
          <w:b/>
          <w:snapToGrid w:val="0"/>
          <w:color w:val="000000" w:themeColor="text1"/>
          <w:kern w:val="0"/>
          <w:sz w:val="32"/>
          <w:szCs w:val="36"/>
          <w14:textFill>
            <w14:solidFill>
              <w14:schemeClr w14:val="tx1"/>
            </w14:solidFill>
          </w14:textFill>
        </w:rPr>
        <w:t>年接收</w:t>
      </w:r>
      <w:bookmarkStart w:id="15" w:name="_GoBack"/>
      <w:r>
        <w:rPr>
          <w:rFonts w:ascii="楷体" w:hAnsi="楷体" w:eastAsia="楷体"/>
          <w:b/>
          <w:snapToGrid w:val="0"/>
          <w:color w:val="000000" w:themeColor="text1"/>
          <w:kern w:val="0"/>
          <w:sz w:val="32"/>
          <w:szCs w:val="36"/>
          <w14:textFill>
            <w14:solidFill>
              <w14:schemeClr w14:val="tx1"/>
            </w14:solidFill>
          </w14:textFill>
        </w:rPr>
        <w:t>非全日制定向就业</w:t>
      </w:r>
      <w:bookmarkEnd w:id="15"/>
      <w:r>
        <w:rPr>
          <w:rFonts w:ascii="楷体" w:hAnsi="楷体" w:eastAsia="楷体"/>
          <w:b/>
          <w:snapToGrid w:val="0"/>
          <w:color w:val="000000" w:themeColor="text1"/>
          <w:kern w:val="0"/>
          <w:sz w:val="32"/>
          <w:szCs w:val="36"/>
          <w14:textFill>
            <w14:solidFill>
              <w14:schemeClr w14:val="tx1"/>
            </w14:solidFill>
          </w14:textFill>
        </w:rPr>
        <w:t>硕士研究生协议书</w:t>
      </w:r>
      <w:bookmarkEnd w:id="10"/>
      <w:bookmarkEnd w:id="11"/>
      <w:bookmarkEnd w:id="12"/>
      <w:bookmarkEnd w:id="13"/>
      <w:bookmarkEnd w:id="14"/>
    </w:p>
    <w:p w14:paraId="01C39C34">
      <w:pPr>
        <w:snapToGrid w:val="0"/>
        <w:spacing w:line="276" w:lineRule="auto"/>
        <w:ind w:left="-158" w:leftChars="-75" w:right="-315" w:rightChars="-150"/>
        <w:rPr>
          <w:rFonts w:ascii="仿宋_GB2312" w:eastAsia="仿宋_GB2312"/>
          <w:sz w:val="22"/>
          <w:szCs w:val="24"/>
        </w:rPr>
      </w:pPr>
      <w:r>
        <w:rPr>
          <w:rFonts w:hint="eastAsia" w:ascii="仿宋_GB2312" w:hAnsi="仿宋" w:eastAsia="仿宋_GB2312"/>
          <w:sz w:val="22"/>
          <w:szCs w:val="24"/>
        </w:rPr>
        <w:t>培养单位（甲方）：北京</w:t>
      </w:r>
      <w:r>
        <w:rPr>
          <w:rFonts w:hint="eastAsia" w:ascii="仿宋_GB2312" w:hAnsi="仿宋" w:eastAsia="仿宋_GB2312"/>
          <w:sz w:val="22"/>
          <w:szCs w:val="24"/>
          <w:lang w:eastAsia="zh-CN"/>
        </w:rPr>
        <w:t>建筑</w:t>
      </w:r>
      <w:r>
        <w:rPr>
          <w:rFonts w:hint="eastAsia" w:ascii="仿宋_GB2312" w:hAnsi="仿宋" w:eastAsia="仿宋_GB2312"/>
          <w:sz w:val="22"/>
          <w:szCs w:val="24"/>
        </w:rPr>
        <w:t>大学</w:t>
      </w:r>
    </w:p>
    <w:p w14:paraId="0998626A">
      <w:pPr>
        <w:snapToGrid w:val="0"/>
        <w:spacing w:line="276" w:lineRule="auto"/>
        <w:ind w:left="-158" w:leftChars="-75" w:right="-315" w:rightChars="-150"/>
        <w:rPr>
          <w:rFonts w:ascii="仿宋_GB2312" w:hAnsi="仿宋" w:eastAsia="仿宋_GB2312"/>
          <w:color w:val="000000" w:themeColor="text1"/>
          <w:sz w:val="22"/>
          <w:szCs w:val="24"/>
          <w14:textFill>
            <w14:solidFill>
              <w14:schemeClr w14:val="tx1"/>
            </w14:solidFill>
          </w14:textFill>
        </w:rPr>
      </w:pPr>
      <w:r>
        <w:rPr>
          <w:rFonts w:hint="eastAsia" w:ascii="仿宋_GB2312" w:hAnsi="仿宋" w:eastAsia="仿宋_GB2312"/>
          <w:sz w:val="22"/>
          <w:szCs w:val="24"/>
        </w:rPr>
        <w:t>定向就业单</w:t>
      </w:r>
      <w:r>
        <w:rPr>
          <w:rFonts w:hint="eastAsia" w:ascii="仿宋_GB2312" w:hAnsi="仿宋" w:eastAsia="仿宋_GB2312"/>
          <w:color w:val="000000" w:themeColor="text1"/>
          <w:sz w:val="22"/>
          <w:szCs w:val="24"/>
          <w14:textFill>
            <w14:solidFill>
              <w14:schemeClr w14:val="tx1"/>
            </w14:solidFill>
          </w14:textFill>
        </w:rPr>
        <w:t>位（乙方）：</w:t>
      </w:r>
      <w:r>
        <w:rPr>
          <w:rFonts w:ascii="仿宋_GB2312" w:hAnsi="仿宋" w:eastAsia="仿宋_GB2312"/>
          <w:color w:val="000000" w:themeColor="text1"/>
          <w:sz w:val="22"/>
          <w:szCs w:val="24"/>
          <w14:textFill>
            <w14:solidFill>
              <w14:schemeClr w14:val="tx1"/>
            </w14:solidFill>
          </w14:textFill>
        </w:rPr>
        <w:t xml:space="preserve">                                        </w:t>
      </w:r>
      <w:r>
        <w:rPr>
          <w:rFonts w:hint="eastAsia" w:ascii="仿宋_GB2312" w:hAnsi="仿宋" w:eastAsia="仿宋_GB2312"/>
          <w:color w:val="000000" w:themeColor="text1"/>
          <w:sz w:val="22"/>
          <w:szCs w:val="24"/>
          <w14:textFill>
            <w14:solidFill>
              <w14:schemeClr w14:val="tx1"/>
            </w14:solidFill>
          </w14:textFill>
        </w:rPr>
        <w:t>（须为具有法人资格单位）</w:t>
      </w:r>
    </w:p>
    <w:p w14:paraId="29ED0700">
      <w:pPr>
        <w:snapToGrid w:val="0"/>
        <w:spacing w:line="276" w:lineRule="auto"/>
        <w:ind w:left="-158" w:leftChars="-75" w:right="-315" w:rightChars="-150"/>
        <w:rPr>
          <w:rFonts w:ascii="仿宋_GB2312" w:eastAsia="仿宋_GB2312"/>
          <w:color w:val="000000" w:themeColor="text1"/>
          <w:sz w:val="22"/>
          <w:szCs w:val="24"/>
          <w14:textFill>
            <w14:solidFill>
              <w14:schemeClr w14:val="tx1"/>
            </w14:solidFill>
          </w14:textFill>
        </w:rPr>
      </w:pPr>
      <w:r>
        <w:rPr>
          <w:rFonts w:hint="eastAsia" w:ascii="仿宋_GB2312" w:hAnsi="仿宋" w:eastAsia="仿宋_GB2312"/>
          <w:color w:val="000000" w:themeColor="text1"/>
          <w:sz w:val="22"/>
          <w:szCs w:val="24"/>
          <w14:textFill>
            <w14:solidFill>
              <w14:schemeClr w14:val="tx1"/>
            </w14:solidFill>
          </w14:textFill>
        </w:rPr>
        <w:t>考生（丙方）：</w:t>
      </w:r>
      <w:r>
        <w:rPr>
          <w:rFonts w:ascii="仿宋_GB2312" w:hAnsi="仿宋" w:eastAsia="仿宋_GB2312"/>
          <w:color w:val="000000" w:themeColor="text1"/>
          <w:sz w:val="22"/>
          <w:szCs w:val="24"/>
          <w14:textFill>
            <w14:solidFill>
              <w14:schemeClr w14:val="tx1"/>
            </w14:solidFill>
          </w14:textFill>
        </w:rPr>
        <w:t xml:space="preserve">                                      </w:t>
      </w:r>
      <w:r>
        <w:rPr>
          <w:rFonts w:hint="eastAsia" w:ascii="仿宋_GB2312" w:hAnsi="仿宋" w:eastAsia="仿宋_GB2312"/>
          <w:color w:val="000000" w:themeColor="text1"/>
          <w:sz w:val="22"/>
          <w:szCs w:val="24"/>
          <w14:textFill>
            <w14:solidFill>
              <w14:schemeClr w14:val="tx1"/>
            </w14:solidFill>
          </w14:textFill>
        </w:rPr>
        <w:t>身份证号：</w:t>
      </w:r>
    </w:p>
    <w:p w14:paraId="34C1BC94">
      <w:pPr>
        <w:snapToGrid w:val="0"/>
        <w:spacing w:line="276" w:lineRule="auto"/>
        <w:ind w:left="-158" w:leftChars="-75" w:right="-315" w:rightChars="-150" w:firstLine="440" w:firstLineChars="200"/>
        <w:rPr>
          <w:rFonts w:ascii="仿宋_GB2312" w:hAnsi="仿宋" w:eastAsia="仿宋_GB2312"/>
          <w:snapToGrid w:val="0"/>
          <w:color w:val="000000" w:themeColor="text1"/>
          <w:kern w:val="0"/>
          <w:sz w:val="22"/>
          <w:szCs w:val="24"/>
          <w14:textFill>
            <w14:solidFill>
              <w14:schemeClr w14:val="tx1"/>
            </w14:solidFill>
          </w14:textFill>
        </w:rPr>
      </w:pPr>
      <w:r>
        <w:rPr>
          <w:rFonts w:hint="eastAsia" w:ascii="仿宋_GB2312" w:hAnsi="仿宋" w:eastAsia="仿宋_GB2312"/>
          <w:snapToGrid w:val="0"/>
          <w:color w:val="000000" w:themeColor="text1"/>
          <w:kern w:val="0"/>
          <w:sz w:val="22"/>
          <w:szCs w:val="24"/>
          <w14:textFill>
            <w14:solidFill>
              <w14:schemeClr w14:val="tx1"/>
            </w14:solidFill>
          </w14:textFill>
        </w:rPr>
        <w:t>甲方拟接收丙方为</w:t>
      </w:r>
      <w:r>
        <w:rPr>
          <w:rFonts w:hint="eastAsia" w:ascii="仿宋_GB2312" w:hAnsi="仿宋" w:eastAsia="仿宋_GB2312"/>
          <w:snapToGrid w:val="0"/>
          <w:color w:val="000000" w:themeColor="text1"/>
          <w:kern w:val="0"/>
          <w:sz w:val="22"/>
          <w:szCs w:val="24"/>
          <w:u w:val="single"/>
          <w:lang w:eastAsia="zh-CN"/>
          <w14:textFill>
            <w14:solidFill>
              <w14:schemeClr w14:val="tx1"/>
            </w14:solidFill>
          </w14:textFill>
        </w:rPr>
        <w:t>202</w:t>
      </w:r>
      <w:r>
        <w:rPr>
          <w:rFonts w:hint="eastAsia" w:ascii="仿宋_GB2312" w:hAnsi="仿宋" w:eastAsia="仿宋_GB2312"/>
          <w:snapToGrid w:val="0"/>
          <w:color w:val="000000" w:themeColor="text1"/>
          <w:kern w:val="0"/>
          <w:sz w:val="22"/>
          <w:szCs w:val="24"/>
          <w:u w:val="single"/>
          <w:lang w:val="en-US" w:eastAsia="zh-CN"/>
          <w14:textFill>
            <w14:solidFill>
              <w14:schemeClr w14:val="tx1"/>
            </w14:solidFill>
          </w14:textFill>
        </w:rPr>
        <w:t>6</w:t>
      </w:r>
      <w:r>
        <w:rPr>
          <w:rFonts w:hint="eastAsia" w:ascii="仿宋_GB2312" w:hAnsi="仿宋" w:eastAsia="仿宋_GB2312"/>
          <w:snapToGrid w:val="0"/>
          <w:color w:val="000000" w:themeColor="text1"/>
          <w:kern w:val="0"/>
          <w:sz w:val="22"/>
          <w:szCs w:val="24"/>
          <w14:textFill>
            <w14:solidFill>
              <w14:schemeClr w14:val="tx1"/>
            </w14:solidFill>
          </w14:textFill>
        </w:rPr>
        <w:t>级非全日制学习方式定向就业录取类别硕士研究生。拟录取的学科（领域）见丙方录取通知书。</w:t>
      </w:r>
    </w:p>
    <w:p w14:paraId="02C3538F">
      <w:pPr>
        <w:snapToGrid w:val="0"/>
        <w:spacing w:line="276" w:lineRule="auto"/>
        <w:ind w:left="-158" w:leftChars="-75" w:right="-315" w:rightChars="-150" w:firstLine="440" w:firstLineChars="200"/>
        <w:rPr>
          <w:rFonts w:ascii="仿宋_GB2312" w:eastAsia="仿宋_GB2312"/>
          <w:color w:val="000000" w:themeColor="text1"/>
          <w:sz w:val="22"/>
          <w:szCs w:val="24"/>
          <w14:textFill>
            <w14:solidFill>
              <w14:schemeClr w14:val="tx1"/>
            </w14:solidFill>
          </w14:textFill>
        </w:rPr>
      </w:pPr>
      <w:r>
        <w:rPr>
          <w:rFonts w:hint="eastAsia" w:ascii="仿宋_GB2312" w:hAnsi="仿宋" w:eastAsia="仿宋_GB2312"/>
          <w:snapToGrid w:val="0"/>
          <w:color w:val="000000" w:themeColor="text1"/>
          <w:kern w:val="0"/>
          <w:sz w:val="22"/>
          <w:szCs w:val="24"/>
          <w14:textFill>
            <w14:solidFill>
              <w14:schemeClr w14:val="tx1"/>
            </w14:solidFill>
          </w14:textFill>
        </w:rPr>
        <w:t>根据《教育部办公厅关于统筹全日制和非全日制研究生管理工作的通知》（教研〔</w:t>
      </w:r>
      <w:r>
        <w:rPr>
          <w:rFonts w:ascii="仿宋_GB2312" w:hAnsi="仿宋" w:eastAsia="仿宋_GB2312"/>
          <w:snapToGrid w:val="0"/>
          <w:color w:val="000000" w:themeColor="text1"/>
          <w:kern w:val="0"/>
          <w:sz w:val="22"/>
          <w:szCs w:val="24"/>
          <w14:textFill>
            <w14:solidFill>
              <w14:schemeClr w14:val="tx1"/>
            </w14:solidFill>
          </w14:textFill>
        </w:rPr>
        <w:t>2016〕2</w:t>
      </w:r>
      <w:r>
        <w:rPr>
          <w:rFonts w:hint="eastAsia" w:ascii="仿宋_GB2312" w:hAnsi="仿宋" w:eastAsia="仿宋_GB2312"/>
          <w:color w:val="000000" w:themeColor="text1"/>
          <w:sz w:val="22"/>
          <w:szCs w:val="24"/>
          <w14:textFill>
            <w14:solidFill>
              <w14:schemeClr w14:val="tx1"/>
            </w14:solidFill>
          </w14:textFill>
        </w:rPr>
        <w:t>号</w:t>
      </w:r>
      <w:r>
        <w:rPr>
          <w:rFonts w:hint="eastAsia" w:ascii="仿宋_GB2312" w:hAnsi="仿宋" w:eastAsia="仿宋_GB2312"/>
          <w:snapToGrid w:val="0"/>
          <w:color w:val="000000" w:themeColor="text1"/>
          <w:kern w:val="0"/>
          <w:sz w:val="22"/>
          <w:szCs w:val="24"/>
          <w14:textFill>
            <w14:solidFill>
              <w14:schemeClr w14:val="tx1"/>
            </w14:solidFill>
          </w14:textFill>
        </w:rPr>
        <w:t>）文件规定，非全日制研究生指进行非脱产学习的研究生。按照《北京市发展改革委员会、北京市财政局、北京市教育委员会关于北京地区研究生教育学费标准等有关问题通知》（京发改〔</w:t>
      </w:r>
      <w:r>
        <w:rPr>
          <w:rFonts w:ascii="仿宋_GB2312" w:hAnsi="仿宋" w:eastAsia="仿宋_GB2312"/>
          <w:snapToGrid w:val="0"/>
          <w:color w:val="000000" w:themeColor="text1"/>
          <w:kern w:val="0"/>
          <w:sz w:val="22"/>
          <w:szCs w:val="24"/>
          <w14:textFill>
            <w14:solidFill>
              <w14:schemeClr w14:val="tx1"/>
            </w14:solidFill>
          </w14:textFill>
        </w:rPr>
        <w:t>2013〕2587</w:t>
      </w:r>
      <w:r>
        <w:rPr>
          <w:rFonts w:hint="eastAsia" w:ascii="仿宋_GB2312" w:hAnsi="仿宋" w:eastAsia="仿宋_GB2312"/>
          <w:color w:val="000000" w:themeColor="text1"/>
          <w:sz w:val="22"/>
          <w:szCs w:val="24"/>
          <w14:textFill>
            <w14:solidFill>
              <w14:schemeClr w14:val="tx1"/>
            </w14:solidFill>
          </w14:textFill>
        </w:rPr>
        <w:t>号</w:t>
      </w:r>
      <w:r>
        <w:rPr>
          <w:rFonts w:hint="eastAsia" w:ascii="仿宋_GB2312" w:hAnsi="仿宋" w:eastAsia="仿宋_GB2312"/>
          <w:snapToGrid w:val="0"/>
          <w:color w:val="000000" w:themeColor="text1"/>
          <w:kern w:val="0"/>
          <w:sz w:val="22"/>
          <w:szCs w:val="24"/>
          <w14:textFill>
            <w14:solidFill>
              <w14:schemeClr w14:val="tx1"/>
            </w14:solidFill>
          </w14:textFill>
        </w:rPr>
        <w:t>）、北京</w:t>
      </w:r>
      <w:r>
        <w:rPr>
          <w:rFonts w:hint="eastAsia" w:ascii="仿宋_GB2312" w:hAnsi="仿宋" w:eastAsia="仿宋_GB2312"/>
          <w:snapToGrid w:val="0"/>
          <w:color w:val="000000" w:themeColor="text1"/>
          <w:kern w:val="0"/>
          <w:sz w:val="22"/>
          <w:szCs w:val="24"/>
          <w:lang w:eastAsia="zh-CN"/>
          <w14:textFill>
            <w14:solidFill>
              <w14:schemeClr w14:val="tx1"/>
            </w14:solidFill>
          </w14:textFill>
        </w:rPr>
        <w:t>建筑</w:t>
      </w:r>
      <w:r>
        <w:rPr>
          <w:rFonts w:hint="eastAsia" w:ascii="仿宋_GB2312" w:hAnsi="仿宋" w:eastAsia="仿宋_GB2312"/>
          <w:snapToGrid w:val="0"/>
          <w:color w:val="000000" w:themeColor="text1"/>
          <w:kern w:val="0"/>
          <w:sz w:val="22"/>
          <w:szCs w:val="24"/>
          <w14:textFill>
            <w14:solidFill>
              <w14:schemeClr w14:val="tx1"/>
            </w14:solidFill>
          </w14:textFill>
        </w:rPr>
        <w:t>大学《北京地区高校（科研机构、党校）非全日制研究生学费标准表》等相关文件，甲、乙、丙三方特订立</w:t>
      </w:r>
      <w:r>
        <w:rPr>
          <w:rFonts w:hint="eastAsia" w:ascii="仿宋_GB2312" w:hAnsi="仿宋" w:eastAsia="仿宋_GB2312"/>
          <w:color w:val="000000" w:themeColor="text1"/>
          <w:sz w:val="22"/>
          <w:szCs w:val="24"/>
          <w14:textFill>
            <w14:solidFill>
              <w14:schemeClr w14:val="tx1"/>
            </w14:solidFill>
          </w14:textFill>
        </w:rPr>
        <w:t>协议如下：</w:t>
      </w:r>
      <w:r>
        <w:rPr>
          <w:rFonts w:ascii="仿宋_GB2312" w:eastAsia="仿宋_GB2312"/>
          <w:color w:val="000000" w:themeColor="text1"/>
          <w:sz w:val="22"/>
          <w:szCs w:val="24"/>
          <w14:textFill>
            <w14:solidFill>
              <w14:schemeClr w14:val="tx1"/>
            </w14:solidFill>
          </w14:textFill>
        </w:rPr>
        <w:t xml:space="preserve"> </w:t>
      </w:r>
    </w:p>
    <w:p w14:paraId="2CF6A24F">
      <w:pPr>
        <w:snapToGrid w:val="0"/>
        <w:spacing w:line="276" w:lineRule="auto"/>
        <w:ind w:left="-158" w:leftChars="-75" w:right="-315" w:rightChars="-150" w:firstLine="440" w:firstLineChars="200"/>
        <w:rPr>
          <w:rFonts w:ascii="仿宋_GB2312" w:hAnsi="仿宋" w:eastAsia="仿宋_GB2312"/>
          <w:snapToGrid w:val="0"/>
          <w:color w:val="000000" w:themeColor="text1"/>
          <w:kern w:val="0"/>
          <w:sz w:val="22"/>
          <w:szCs w:val="24"/>
          <w14:textFill>
            <w14:solidFill>
              <w14:schemeClr w14:val="tx1"/>
            </w14:solidFill>
          </w14:textFill>
        </w:rPr>
      </w:pPr>
      <w:r>
        <w:rPr>
          <w:rFonts w:hint="eastAsia" w:ascii="仿宋_GB2312" w:hAnsi="仿宋" w:eastAsia="仿宋_GB2312"/>
          <w:snapToGrid w:val="0"/>
          <w:color w:val="000000" w:themeColor="text1"/>
          <w:kern w:val="0"/>
          <w:sz w:val="22"/>
          <w:szCs w:val="24"/>
          <w14:textFill>
            <w14:solidFill>
              <w14:schemeClr w14:val="tx1"/>
            </w14:solidFill>
          </w14:textFill>
        </w:rPr>
        <w:t>一、丙方须按照甲方要求，按期到校办理入学手续。丙方入学后经甲方复查丙方材料合格后取得学籍。在学期间，丙方须遵守甲方相关规定（包括但不限于修订、新制定等），履行相关义务。在修业年限内达到甲方要求，可获得注明学习方式的毕业证书；符合学位授予条件者，甲方授予丙方相应学位。</w:t>
      </w:r>
    </w:p>
    <w:p w14:paraId="6C69B96D">
      <w:pPr>
        <w:snapToGrid w:val="0"/>
        <w:spacing w:line="276" w:lineRule="auto"/>
        <w:ind w:left="-158" w:leftChars="-75" w:right="-315" w:rightChars="-150" w:firstLine="440" w:firstLineChars="200"/>
        <w:rPr>
          <w:rFonts w:ascii="仿宋_GB2312" w:hAnsi="仿宋" w:eastAsia="仿宋_GB2312"/>
          <w:snapToGrid w:val="0"/>
          <w:color w:val="000000" w:themeColor="text1"/>
          <w:kern w:val="0"/>
          <w:sz w:val="22"/>
          <w:szCs w:val="24"/>
          <w14:textFill>
            <w14:solidFill>
              <w14:schemeClr w14:val="tx1"/>
            </w14:solidFill>
          </w14:textFill>
        </w:rPr>
      </w:pPr>
      <w:r>
        <w:rPr>
          <w:rFonts w:hint="eastAsia" w:ascii="仿宋_GB2312" w:hAnsi="仿宋" w:eastAsia="仿宋_GB2312"/>
          <w:snapToGrid w:val="0"/>
          <w:color w:val="000000" w:themeColor="text1"/>
          <w:kern w:val="0"/>
          <w:sz w:val="22"/>
          <w:szCs w:val="24"/>
          <w14:textFill>
            <w14:solidFill>
              <w14:schemeClr w14:val="tx1"/>
            </w14:solidFill>
          </w14:textFill>
        </w:rPr>
        <w:t>二、甲方仅负责丙方在校期间非全日制学习方式的培养工作，不负责培养以外的各项事宜。甲方不安排丙方住宿，不接收丙方户口、人事档案、工资关系，其工资、医疗、福利等待遇由乙方负责；丙方在校期间奖助政策依据甲方相关规定执行。遇休学、退学、取消学籍、开除或其他原因离校时，由乙方负责安排处理。乙方应支持丙方完成学业，保证丙方必要的学习时间。</w:t>
      </w:r>
    </w:p>
    <w:p w14:paraId="5FADFF93">
      <w:pPr>
        <w:snapToGrid w:val="0"/>
        <w:spacing w:line="276" w:lineRule="auto"/>
        <w:ind w:left="-158" w:leftChars="-75" w:right="-315" w:rightChars="-150" w:firstLine="440" w:firstLineChars="200"/>
        <w:rPr>
          <w:rFonts w:ascii="仿宋_GB2312" w:hAnsi="仿宋" w:eastAsia="仿宋_GB2312"/>
          <w:snapToGrid w:val="0"/>
          <w:color w:val="000000" w:themeColor="text1"/>
          <w:kern w:val="0"/>
          <w:sz w:val="22"/>
          <w:szCs w:val="24"/>
          <w14:textFill>
            <w14:solidFill>
              <w14:schemeClr w14:val="tx1"/>
            </w14:solidFill>
          </w14:textFill>
        </w:rPr>
      </w:pPr>
      <w:r>
        <w:rPr>
          <w:rFonts w:hint="eastAsia" w:ascii="仿宋_GB2312" w:hAnsi="仿宋" w:eastAsia="仿宋_GB2312"/>
          <w:snapToGrid w:val="0"/>
          <w:color w:val="000000" w:themeColor="text1"/>
          <w:kern w:val="0"/>
          <w:sz w:val="22"/>
          <w:szCs w:val="24"/>
          <w14:textFill>
            <w14:solidFill>
              <w14:schemeClr w14:val="tx1"/>
            </w14:solidFill>
          </w14:textFill>
        </w:rPr>
        <w:t>三、乙方或丙方须每学年向甲方支付学费</w:t>
      </w:r>
      <w:r>
        <w:rPr>
          <w:rFonts w:ascii="仿宋_GB2312" w:hAnsi="仿宋" w:eastAsia="仿宋_GB2312"/>
          <w:snapToGrid w:val="0"/>
          <w:color w:val="000000" w:themeColor="text1"/>
          <w:kern w:val="0"/>
          <w:sz w:val="22"/>
          <w:szCs w:val="24"/>
          <w:u w:val="single"/>
          <w14:textFill>
            <w14:solidFill>
              <w14:schemeClr w14:val="tx1"/>
            </w14:solidFill>
          </w14:textFill>
        </w:rPr>
        <w:t xml:space="preserve">      </w:t>
      </w:r>
      <w:r>
        <w:rPr>
          <w:rFonts w:hint="eastAsia" w:ascii="仿宋_GB2312" w:hAnsi="仿宋" w:eastAsia="仿宋_GB2312"/>
          <w:snapToGrid w:val="0"/>
          <w:color w:val="000000" w:themeColor="text1"/>
          <w:kern w:val="0"/>
          <w:sz w:val="22"/>
          <w:szCs w:val="24"/>
          <w14:textFill>
            <w14:solidFill>
              <w14:schemeClr w14:val="tx1"/>
            </w14:solidFill>
          </w14:textFill>
        </w:rPr>
        <w:t>元（学制与学费标准以入学当年招生学科目录为准），支付方式和时间由甲方随录取通知书一同告知。若乙方或丙方在入学报到时不能按此协议约定缴纳学费并办理入学手续的，甲方将取消丙方入学资格，不予注册。此后每学期开学两周内未按甲方规定缴纳学费、履行注册手续的，甲方有权终止协议，终止对丙方的培养。</w:t>
      </w:r>
    </w:p>
    <w:p w14:paraId="05CD1020">
      <w:pPr>
        <w:snapToGrid w:val="0"/>
        <w:spacing w:line="276" w:lineRule="auto"/>
        <w:ind w:left="-158" w:leftChars="-75" w:right="-315" w:rightChars="-150" w:firstLine="440" w:firstLineChars="200"/>
        <w:rPr>
          <w:rFonts w:ascii="仿宋_GB2312" w:hAnsi="仿宋" w:eastAsia="仿宋_GB2312"/>
          <w:snapToGrid w:val="0"/>
          <w:color w:val="000000" w:themeColor="text1"/>
          <w:kern w:val="0"/>
          <w:sz w:val="22"/>
          <w:szCs w:val="24"/>
          <w14:textFill>
            <w14:solidFill>
              <w14:schemeClr w14:val="tx1"/>
            </w14:solidFill>
          </w14:textFill>
        </w:rPr>
      </w:pPr>
      <w:r>
        <w:rPr>
          <w:rFonts w:hint="eastAsia" w:ascii="仿宋_GB2312" w:hAnsi="仿宋" w:eastAsia="仿宋_GB2312"/>
          <w:snapToGrid w:val="0"/>
          <w:color w:val="000000" w:themeColor="text1"/>
          <w:kern w:val="0"/>
          <w:sz w:val="22"/>
          <w:szCs w:val="24"/>
          <w14:textFill>
            <w14:solidFill>
              <w14:schemeClr w14:val="tx1"/>
            </w14:solidFill>
          </w14:textFill>
        </w:rPr>
        <w:t>四、丙方毕业（结业、肄业）后，按照定向协议就业。丙方因毕业、退学、开除学籍或其他原因离校，其毕业（结业、肄业）证书、学位证书及其他在校期间形成的相关材料，需按甲方要求寄送乙方；或征得乙方</w:t>
      </w:r>
      <w:r>
        <w:rPr>
          <w:rFonts w:hint="eastAsia" w:ascii="仿宋_GB2312" w:hAnsi="仿宋" w:eastAsia="仿宋_GB2312"/>
          <w:snapToGrid w:val="0"/>
          <w:color w:val="000000" w:themeColor="text1"/>
          <w:spacing w:val="-2"/>
          <w:kern w:val="0"/>
          <w:sz w:val="22"/>
          <w:szCs w:val="24"/>
          <w14:textFill>
            <w14:solidFill>
              <w14:schemeClr w14:val="tx1"/>
            </w14:solidFill>
          </w14:textFill>
        </w:rPr>
        <w:t>书面</w:t>
      </w:r>
      <w:r>
        <w:rPr>
          <w:rFonts w:hint="eastAsia" w:ascii="仿宋_GB2312" w:hAnsi="仿宋" w:eastAsia="仿宋_GB2312"/>
          <w:snapToGrid w:val="0"/>
          <w:color w:val="000000" w:themeColor="text1"/>
          <w:kern w:val="0"/>
          <w:sz w:val="22"/>
          <w:szCs w:val="24"/>
          <w14:textFill>
            <w14:solidFill>
              <w14:schemeClr w14:val="tx1"/>
            </w14:solidFill>
          </w14:textFill>
        </w:rPr>
        <w:t>同意，直接颁发给丙方。若丙方在读期间，与乙方解除定向就业关系，或乙方确因破产、重组改制等原因无法接收，</w:t>
      </w:r>
      <w:r>
        <w:rPr>
          <w:rFonts w:hint="eastAsia" w:ascii="仿宋_GB2312" w:hAnsi="仿宋" w:eastAsia="仿宋_GB2312"/>
          <w:snapToGrid w:val="0"/>
          <w:color w:val="000000" w:themeColor="text1"/>
          <w:spacing w:val="-2"/>
          <w:kern w:val="0"/>
          <w:sz w:val="22"/>
          <w:szCs w:val="24"/>
          <w14:textFill>
            <w14:solidFill>
              <w14:schemeClr w14:val="tx1"/>
            </w14:solidFill>
          </w14:textFill>
        </w:rPr>
        <w:t>乙方、丙方</w:t>
      </w:r>
      <w:r>
        <w:rPr>
          <w:rFonts w:hint="eastAsia" w:ascii="仿宋_GB2312" w:hAnsi="仿宋" w:eastAsia="仿宋_GB2312"/>
          <w:snapToGrid w:val="0"/>
          <w:color w:val="000000" w:themeColor="text1"/>
          <w:kern w:val="0"/>
          <w:sz w:val="22"/>
          <w:szCs w:val="24"/>
          <w14:textFill>
            <w14:solidFill>
              <w14:schemeClr w14:val="tx1"/>
            </w14:solidFill>
          </w14:textFill>
        </w:rPr>
        <w:t>应及时告知甲方并按有关规定执行，否则，乙方或丙方承担相应责任。</w:t>
      </w:r>
    </w:p>
    <w:p w14:paraId="33D7AC6A">
      <w:pPr>
        <w:snapToGrid w:val="0"/>
        <w:spacing w:line="276" w:lineRule="auto"/>
        <w:ind w:left="-158" w:leftChars="-75" w:right="-315" w:rightChars="-150" w:firstLine="440" w:firstLineChars="200"/>
        <w:rPr>
          <w:rFonts w:ascii="仿宋_GB2312" w:hAnsi="仿宋" w:eastAsia="仿宋_GB2312"/>
          <w:snapToGrid w:val="0"/>
          <w:color w:val="000000" w:themeColor="text1"/>
          <w:kern w:val="0"/>
          <w:sz w:val="22"/>
          <w:szCs w:val="24"/>
          <w14:textFill>
            <w14:solidFill>
              <w14:schemeClr w14:val="tx1"/>
            </w14:solidFill>
          </w14:textFill>
        </w:rPr>
      </w:pPr>
      <w:r>
        <w:rPr>
          <w:rFonts w:hint="eastAsia" w:ascii="仿宋_GB2312" w:hAnsi="仿宋" w:eastAsia="仿宋_GB2312"/>
          <w:snapToGrid w:val="0"/>
          <w:color w:val="000000" w:themeColor="text1"/>
          <w:kern w:val="0"/>
          <w:sz w:val="22"/>
          <w:szCs w:val="24"/>
          <w14:textFill>
            <w14:solidFill>
              <w14:schemeClr w14:val="tx1"/>
            </w14:solidFill>
          </w14:textFill>
        </w:rPr>
        <w:t>五、本协议有效期内，甲方有关非全日制学习方式培养的任何规定（包括但不限于修订、新制定等）均视为有效，乙、丙方需严格遵守。乙方或丙方不执行本协议，甲方有权停止培养工作，乙方或丙方所交学费等按照甲方有关规定处理。</w:t>
      </w:r>
    </w:p>
    <w:p w14:paraId="1890A9A3">
      <w:pPr>
        <w:snapToGrid w:val="0"/>
        <w:spacing w:line="276" w:lineRule="auto"/>
        <w:ind w:left="-158" w:leftChars="-75" w:right="-315" w:rightChars="-150" w:firstLine="440" w:firstLineChars="200"/>
        <w:rPr>
          <w:rFonts w:ascii="仿宋_GB2312" w:hAnsi="仿宋" w:eastAsia="仿宋_GB2312"/>
          <w:color w:val="000000" w:themeColor="text1"/>
          <w:sz w:val="22"/>
          <w:szCs w:val="24"/>
          <w14:textFill>
            <w14:solidFill>
              <w14:schemeClr w14:val="tx1"/>
            </w14:solidFill>
          </w14:textFill>
        </w:rPr>
      </w:pPr>
      <w:r>
        <w:rPr>
          <w:rFonts w:hint="eastAsia" w:ascii="仿宋_GB2312" w:hAnsi="仿宋" w:eastAsia="仿宋_GB2312"/>
          <w:color w:val="000000" w:themeColor="text1"/>
          <w:sz w:val="22"/>
          <w:szCs w:val="24"/>
          <w14:textFill>
            <w14:solidFill>
              <w14:schemeClr w14:val="tx1"/>
            </w14:solidFill>
          </w14:textFill>
        </w:rPr>
        <w:t>六、本协议甲、乙、丙三方各执一份，</w:t>
      </w:r>
      <w:r>
        <w:rPr>
          <w:rFonts w:hint="eastAsia" w:ascii="仿宋_GB2312" w:eastAsia="仿宋_GB2312"/>
          <w:color w:val="000000" w:themeColor="text1"/>
          <w:sz w:val="22"/>
          <w:szCs w:val="24"/>
          <w14:textFill>
            <w14:solidFill>
              <w14:schemeClr w14:val="tx1"/>
            </w14:solidFill>
          </w14:textFill>
        </w:rPr>
        <w:t>须经甲、乙、丙三方签字（盖章），并在甲方上级主管部门审查录取丙方合格后生效</w:t>
      </w:r>
      <w:r>
        <w:rPr>
          <w:rFonts w:hint="eastAsia" w:ascii="仿宋_GB2312" w:hAnsi="仿宋" w:eastAsia="仿宋_GB2312"/>
          <w:snapToGrid w:val="0"/>
          <w:color w:val="000000" w:themeColor="text1"/>
          <w:kern w:val="0"/>
          <w:sz w:val="22"/>
          <w:szCs w:val="24"/>
          <w14:textFill>
            <w14:solidFill>
              <w14:schemeClr w14:val="tx1"/>
            </w14:solidFill>
          </w14:textFill>
        </w:rPr>
        <w:t>，</w:t>
      </w:r>
      <w:r>
        <w:rPr>
          <w:rFonts w:hint="eastAsia" w:ascii="仿宋_GB2312" w:hAnsi="仿宋" w:eastAsia="仿宋_GB2312"/>
          <w:color w:val="000000" w:themeColor="text1"/>
          <w:sz w:val="22"/>
          <w:szCs w:val="24"/>
          <w14:textFill>
            <w14:solidFill>
              <w14:schemeClr w14:val="tx1"/>
            </w14:solidFill>
          </w14:textFill>
        </w:rPr>
        <w:t>丙方学业结束或出现协议约定的其他终止情形后终止。</w:t>
      </w:r>
    </w:p>
    <w:p w14:paraId="63A658CD">
      <w:pPr>
        <w:snapToGrid w:val="0"/>
        <w:spacing w:line="276" w:lineRule="auto"/>
        <w:ind w:left="-158" w:leftChars="-75" w:right="-315" w:rightChars="-150" w:firstLine="440" w:firstLineChars="200"/>
        <w:rPr>
          <w:rFonts w:ascii="仿宋_GB2312" w:hAnsi="仿宋" w:eastAsia="仿宋_GB2312"/>
          <w:color w:val="000000" w:themeColor="text1"/>
          <w:sz w:val="22"/>
          <w:szCs w:val="24"/>
          <w14:textFill>
            <w14:solidFill>
              <w14:schemeClr w14:val="tx1"/>
            </w14:solidFill>
          </w14:textFill>
        </w:rPr>
      </w:pPr>
      <w:r>
        <w:rPr>
          <w:rFonts w:hint="eastAsia" w:ascii="仿宋_GB2312" w:hAnsi="仿宋" w:eastAsia="仿宋_GB2312"/>
          <w:color w:val="000000" w:themeColor="text1"/>
          <w:sz w:val="22"/>
          <w:szCs w:val="24"/>
          <w14:textFill>
            <w14:solidFill>
              <w14:schemeClr w14:val="tx1"/>
            </w14:solidFill>
          </w14:textFill>
        </w:rPr>
        <w:t>七、协议中未尽事宜，由三方协商解决。</w:t>
      </w:r>
    </w:p>
    <w:p w14:paraId="684EDDBE">
      <w:pPr>
        <w:snapToGrid w:val="0"/>
        <w:spacing w:line="276" w:lineRule="auto"/>
        <w:ind w:left="-158" w:leftChars="-75" w:right="-315" w:rightChars="-150" w:firstLine="220" w:firstLineChars="100"/>
        <w:rPr>
          <w:rFonts w:ascii="仿宋_GB2312" w:eastAsia="仿宋_GB2312"/>
          <w:color w:val="000000" w:themeColor="text1"/>
          <w:sz w:val="22"/>
          <w14:textFill>
            <w14:solidFill>
              <w14:schemeClr w14:val="tx1"/>
            </w14:solidFill>
          </w14:textFill>
        </w:rPr>
      </w:pPr>
      <w:r>
        <w:rPr>
          <w:rFonts w:hint="eastAsia" w:ascii="仿宋_GB2312" w:hAnsi="仿宋" w:eastAsia="仿宋_GB2312"/>
          <w:color w:val="000000" w:themeColor="text1"/>
          <w:sz w:val="22"/>
          <w14:textFill>
            <w14:solidFill>
              <w14:schemeClr w14:val="tx1"/>
            </w14:solidFill>
          </w14:textFill>
        </w:rPr>
        <w:t>甲方（公章）：</w:t>
      </w:r>
      <w:r>
        <w:rPr>
          <w:rFonts w:ascii="仿宋_GB2312" w:eastAsia="仿宋_GB2312"/>
          <w:color w:val="000000" w:themeColor="text1"/>
          <w:sz w:val="22"/>
          <w14:textFill>
            <w14:solidFill>
              <w14:schemeClr w14:val="tx1"/>
            </w14:solidFill>
          </w14:textFill>
        </w:rPr>
        <w:t xml:space="preserve">                       </w:t>
      </w:r>
      <w:r>
        <w:rPr>
          <w:rFonts w:hint="eastAsia" w:ascii="仿宋_GB2312" w:hAnsi="仿宋" w:eastAsia="仿宋_GB2312"/>
          <w:color w:val="000000" w:themeColor="text1"/>
          <w:sz w:val="22"/>
          <w14:textFill>
            <w14:solidFill>
              <w14:schemeClr w14:val="tx1"/>
            </w14:solidFill>
          </w14:textFill>
        </w:rPr>
        <w:t>乙方（公章）：</w:t>
      </w:r>
      <w:r>
        <w:rPr>
          <w:rFonts w:ascii="仿宋_GB2312" w:eastAsia="仿宋_GB2312"/>
          <w:color w:val="000000" w:themeColor="text1"/>
          <w:sz w:val="22"/>
          <w14:textFill>
            <w14:solidFill>
              <w14:schemeClr w14:val="tx1"/>
            </w14:solidFill>
          </w14:textFill>
        </w:rPr>
        <w:t xml:space="preserve">              </w:t>
      </w:r>
      <w:r>
        <w:rPr>
          <w:rFonts w:hint="eastAsia" w:ascii="仿宋_GB2312" w:hAnsi="仿宋" w:eastAsia="仿宋_GB2312"/>
          <w:color w:val="000000" w:themeColor="text1"/>
          <w:sz w:val="22"/>
          <w14:textFill>
            <w14:solidFill>
              <w14:schemeClr w14:val="tx1"/>
            </w14:solidFill>
          </w14:textFill>
        </w:rPr>
        <w:t>丙方（签字）：</w:t>
      </w:r>
    </w:p>
    <w:p w14:paraId="77042FFB">
      <w:pPr>
        <w:snapToGrid w:val="0"/>
        <w:spacing w:line="276" w:lineRule="auto"/>
        <w:ind w:left="-158" w:leftChars="-75" w:right="-315" w:rightChars="-150"/>
        <w:rPr>
          <w:rFonts w:ascii="仿宋_GB2312" w:eastAsia="仿宋_GB2312"/>
          <w:color w:val="000000" w:themeColor="text1"/>
          <w:sz w:val="22"/>
          <w14:textFill>
            <w14:solidFill>
              <w14:schemeClr w14:val="tx1"/>
            </w14:solidFill>
          </w14:textFill>
        </w:rPr>
      </w:pPr>
      <w:r>
        <w:rPr>
          <w:rFonts w:hint="eastAsia" w:ascii="仿宋_GB2312" w:hAnsi="仿宋" w:eastAsia="仿宋_GB2312"/>
          <w:color w:val="000000" w:themeColor="text1"/>
          <w:sz w:val="22"/>
          <w14:textFill>
            <w14:solidFill>
              <w14:schemeClr w14:val="tx1"/>
            </w14:solidFill>
          </w14:textFill>
        </w:rPr>
        <w:t>负责人（签字）：</w:t>
      </w:r>
      <w:r>
        <w:rPr>
          <w:rFonts w:ascii="仿宋_GB2312" w:eastAsia="仿宋_GB2312"/>
          <w:color w:val="000000" w:themeColor="text1"/>
          <w:sz w:val="22"/>
          <w14:textFill>
            <w14:solidFill>
              <w14:schemeClr w14:val="tx1"/>
            </w14:solidFill>
          </w14:textFill>
        </w:rPr>
        <w:t xml:space="preserve">                     </w:t>
      </w:r>
      <w:r>
        <w:rPr>
          <w:rFonts w:hint="eastAsia" w:ascii="仿宋_GB2312" w:hAnsi="仿宋" w:eastAsia="仿宋_GB2312"/>
          <w:color w:val="000000" w:themeColor="text1"/>
          <w:sz w:val="22"/>
          <w14:textFill>
            <w14:solidFill>
              <w14:schemeClr w14:val="tx1"/>
            </w14:solidFill>
          </w14:textFill>
        </w:rPr>
        <w:t>负责人（签字）：</w:t>
      </w:r>
      <w:r>
        <w:rPr>
          <w:rFonts w:ascii="仿宋_GB2312" w:eastAsia="仿宋_GB2312"/>
          <w:color w:val="000000" w:themeColor="text1"/>
          <w:sz w:val="22"/>
          <w14:textFill>
            <w14:solidFill>
              <w14:schemeClr w14:val="tx1"/>
            </w14:solidFill>
          </w14:textFill>
        </w:rPr>
        <w:t xml:space="preserve">      </w:t>
      </w:r>
    </w:p>
    <w:p w14:paraId="4ECB6AA7">
      <w:pPr>
        <w:snapToGrid w:val="0"/>
        <w:spacing w:line="276" w:lineRule="auto"/>
        <w:ind w:left="-158" w:leftChars="-75" w:right="-315" w:rightChars="-150" w:firstLine="440" w:firstLineChars="200"/>
        <w:rPr>
          <w:rFonts w:ascii="仿宋_GB2312" w:eastAsia="仿宋_GB2312"/>
          <w:color w:val="000000" w:themeColor="text1"/>
          <w:sz w:val="22"/>
          <w14:textFill>
            <w14:solidFill>
              <w14:schemeClr w14:val="tx1"/>
            </w14:solidFill>
          </w14:textFill>
        </w:rPr>
      </w:pPr>
      <w:r>
        <w:rPr>
          <w:rFonts w:hint="eastAsia" w:ascii="仿宋_GB2312" w:hAnsi="仿宋" w:eastAsia="仿宋_GB2312"/>
          <w:color w:val="000000" w:themeColor="text1"/>
          <w:sz w:val="22"/>
          <w14:textFill>
            <w14:solidFill>
              <w14:schemeClr w14:val="tx1"/>
            </w14:solidFill>
          </w14:textFill>
        </w:rPr>
        <w:t>年</w:t>
      </w:r>
      <w:r>
        <w:rPr>
          <w:rFonts w:ascii="仿宋_GB2312" w:eastAsia="仿宋_GB2312"/>
          <w:color w:val="000000" w:themeColor="text1"/>
          <w:sz w:val="22"/>
          <w14:textFill>
            <w14:solidFill>
              <w14:schemeClr w14:val="tx1"/>
            </w14:solidFill>
          </w14:textFill>
        </w:rPr>
        <w:t xml:space="preserve">  </w:t>
      </w:r>
      <w:r>
        <w:rPr>
          <w:rFonts w:hint="eastAsia" w:ascii="仿宋_GB2312" w:hAnsi="仿宋" w:eastAsia="仿宋_GB2312"/>
          <w:color w:val="000000" w:themeColor="text1"/>
          <w:sz w:val="22"/>
          <w14:textFill>
            <w14:solidFill>
              <w14:schemeClr w14:val="tx1"/>
            </w14:solidFill>
          </w14:textFill>
        </w:rPr>
        <w:t>月</w:t>
      </w:r>
      <w:r>
        <w:rPr>
          <w:rFonts w:ascii="仿宋_GB2312" w:eastAsia="仿宋_GB2312"/>
          <w:color w:val="000000" w:themeColor="text1"/>
          <w:sz w:val="22"/>
          <w14:textFill>
            <w14:solidFill>
              <w14:schemeClr w14:val="tx1"/>
            </w14:solidFill>
          </w14:textFill>
        </w:rPr>
        <w:t xml:space="preserve">  </w:t>
      </w:r>
      <w:r>
        <w:rPr>
          <w:rFonts w:hint="eastAsia" w:ascii="仿宋_GB2312" w:hAnsi="仿宋" w:eastAsia="仿宋_GB2312"/>
          <w:color w:val="000000" w:themeColor="text1"/>
          <w:sz w:val="22"/>
          <w14:textFill>
            <w14:solidFill>
              <w14:schemeClr w14:val="tx1"/>
            </w14:solidFill>
          </w14:textFill>
        </w:rPr>
        <w:t>日</w:t>
      </w:r>
      <w:r>
        <w:rPr>
          <w:rFonts w:ascii="仿宋_GB2312" w:eastAsia="仿宋_GB2312"/>
          <w:color w:val="000000" w:themeColor="text1"/>
          <w:sz w:val="22"/>
          <w14:textFill>
            <w14:solidFill>
              <w14:schemeClr w14:val="tx1"/>
            </w14:solidFill>
          </w14:textFill>
        </w:rPr>
        <w:t xml:space="preserve">                          </w:t>
      </w:r>
      <w:r>
        <w:rPr>
          <w:rFonts w:hint="eastAsia" w:ascii="仿宋_GB2312" w:hAnsi="仿宋" w:eastAsia="仿宋_GB2312"/>
          <w:color w:val="000000" w:themeColor="text1"/>
          <w:sz w:val="22"/>
          <w14:textFill>
            <w14:solidFill>
              <w14:schemeClr w14:val="tx1"/>
            </w14:solidFill>
          </w14:textFill>
        </w:rPr>
        <w:t>年</w:t>
      </w:r>
      <w:r>
        <w:rPr>
          <w:rFonts w:ascii="仿宋_GB2312" w:eastAsia="仿宋_GB2312"/>
          <w:color w:val="000000" w:themeColor="text1"/>
          <w:sz w:val="22"/>
          <w14:textFill>
            <w14:solidFill>
              <w14:schemeClr w14:val="tx1"/>
            </w14:solidFill>
          </w14:textFill>
        </w:rPr>
        <w:t xml:space="preserve">  </w:t>
      </w:r>
      <w:r>
        <w:rPr>
          <w:rFonts w:hint="eastAsia" w:ascii="仿宋_GB2312" w:hAnsi="仿宋" w:eastAsia="仿宋_GB2312"/>
          <w:color w:val="000000" w:themeColor="text1"/>
          <w:sz w:val="22"/>
          <w14:textFill>
            <w14:solidFill>
              <w14:schemeClr w14:val="tx1"/>
            </w14:solidFill>
          </w14:textFill>
        </w:rPr>
        <w:t>月</w:t>
      </w:r>
      <w:r>
        <w:rPr>
          <w:rFonts w:ascii="仿宋_GB2312" w:eastAsia="仿宋_GB2312"/>
          <w:color w:val="000000" w:themeColor="text1"/>
          <w:sz w:val="22"/>
          <w14:textFill>
            <w14:solidFill>
              <w14:schemeClr w14:val="tx1"/>
            </w14:solidFill>
          </w14:textFill>
        </w:rPr>
        <w:t xml:space="preserve">  </w:t>
      </w:r>
      <w:r>
        <w:rPr>
          <w:rFonts w:hint="eastAsia" w:ascii="仿宋_GB2312" w:hAnsi="仿宋" w:eastAsia="仿宋_GB2312"/>
          <w:color w:val="000000" w:themeColor="text1"/>
          <w:sz w:val="22"/>
          <w14:textFill>
            <w14:solidFill>
              <w14:schemeClr w14:val="tx1"/>
            </w14:solidFill>
          </w14:textFill>
        </w:rPr>
        <w:t>日</w:t>
      </w:r>
      <w:r>
        <w:rPr>
          <w:rFonts w:ascii="仿宋_GB2312" w:eastAsia="仿宋_GB2312"/>
          <w:color w:val="000000" w:themeColor="text1"/>
          <w:sz w:val="22"/>
          <w14:textFill>
            <w14:solidFill>
              <w14:schemeClr w14:val="tx1"/>
            </w14:solidFill>
          </w14:textFill>
        </w:rPr>
        <w:t xml:space="preserve">                </w:t>
      </w:r>
      <w:r>
        <w:rPr>
          <w:rFonts w:hint="eastAsia" w:ascii="仿宋_GB2312" w:hAnsi="仿宋" w:eastAsia="仿宋_GB2312"/>
          <w:color w:val="000000" w:themeColor="text1"/>
          <w:sz w:val="22"/>
          <w14:textFill>
            <w14:solidFill>
              <w14:schemeClr w14:val="tx1"/>
            </w14:solidFill>
          </w14:textFill>
        </w:rPr>
        <w:t>年</w:t>
      </w:r>
      <w:r>
        <w:rPr>
          <w:rFonts w:ascii="仿宋_GB2312" w:eastAsia="仿宋_GB2312"/>
          <w:color w:val="000000" w:themeColor="text1"/>
          <w:sz w:val="22"/>
          <w14:textFill>
            <w14:solidFill>
              <w14:schemeClr w14:val="tx1"/>
            </w14:solidFill>
          </w14:textFill>
        </w:rPr>
        <w:t xml:space="preserve">  </w:t>
      </w:r>
      <w:r>
        <w:rPr>
          <w:rFonts w:hint="eastAsia" w:ascii="仿宋_GB2312" w:hAnsi="仿宋" w:eastAsia="仿宋_GB2312"/>
          <w:color w:val="000000" w:themeColor="text1"/>
          <w:sz w:val="22"/>
          <w14:textFill>
            <w14:solidFill>
              <w14:schemeClr w14:val="tx1"/>
            </w14:solidFill>
          </w14:textFill>
        </w:rPr>
        <w:t>月</w:t>
      </w:r>
      <w:r>
        <w:rPr>
          <w:rFonts w:ascii="仿宋_GB2312" w:eastAsia="仿宋_GB2312"/>
          <w:color w:val="000000" w:themeColor="text1"/>
          <w:sz w:val="22"/>
          <w14:textFill>
            <w14:solidFill>
              <w14:schemeClr w14:val="tx1"/>
            </w14:solidFill>
          </w14:textFill>
        </w:rPr>
        <w:t xml:space="preserve">  </w:t>
      </w:r>
      <w:r>
        <w:rPr>
          <w:rFonts w:hint="eastAsia" w:ascii="仿宋_GB2312" w:hAnsi="仿宋" w:eastAsia="仿宋_GB2312"/>
          <w:color w:val="000000" w:themeColor="text1"/>
          <w:sz w:val="22"/>
          <w14:textFill>
            <w14:solidFill>
              <w14:schemeClr w14:val="tx1"/>
            </w14:solidFill>
          </w14:textFill>
        </w:rPr>
        <w:t>日</w:t>
      </w:r>
    </w:p>
    <w:bookmarkEnd w:id="8"/>
    <w:bookmarkEnd w:id="9"/>
    <w:p w14:paraId="0039E35E">
      <w:pPr>
        <w:spacing w:before="156" w:beforeLines="50" w:after="156" w:afterLines="50" w:line="360" w:lineRule="auto"/>
        <w:outlineLvl w:val="0"/>
        <w:rPr>
          <w:rFonts w:ascii="Times New Roman" w:hAnsi="仿宋" w:eastAsia="仿宋" w:cs="Times New Roman"/>
          <w:b/>
          <w:szCs w:val="24"/>
        </w:rPr>
        <w:sectPr>
          <w:pgSz w:w="11906" w:h="16838"/>
          <w:pgMar w:top="1134" w:right="1474" w:bottom="1134" w:left="1474" w:header="851" w:footer="688" w:gutter="0"/>
          <w:pgNumType w:fmt="decimal"/>
          <w:cols w:space="425" w:num="1"/>
          <w:docGrid w:type="lines" w:linePitch="312" w:charSpace="0"/>
        </w:sectPr>
      </w:pPr>
    </w:p>
    <w:p w14:paraId="3D89ACA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1C38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2026-04-01T10:21:05Z</dcterms:created>
  <dc:creator>admini</dc:creator>
  <cp:lastModifiedBy>微信用户</cp:lastModifiedBy>
  <dcterms:modified xsi:type="dcterms:W3CDTF">2026-04-01T10:24:34Z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eyJoZGlkIjoiMDQxYjRkZWQ2MTgwZjhhZmU4YzE0NTZmNmZhMmNkMWUiLCJ1c2VySWQiOiIxMjczNTU3NjU5In0=</vt:lpwstr>
  </property>
  <property fmtid="{D5CDD505-2E9C-101B-9397-08002B2CF9AE}" pid="4" name="ICV">
    <vt:lpwstr>75E9E9B5C82140A180F88EA2C4731B68_12</vt:lpwstr>
  </property>
</Properties>
</file>